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A14" w:rsidRDefault="00CE1A14" w:rsidP="00C91344">
      <w:pPr>
        <w:jc w:val="right"/>
        <w:rPr>
          <w:rFonts w:ascii="Arial" w:hAnsi="Arial" w:cs="Arial"/>
          <w:b/>
        </w:rPr>
      </w:pPr>
    </w:p>
    <w:p w:rsidR="00C91344" w:rsidRPr="006B5C12" w:rsidRDefault="00C91344" w:rsidP="00C91344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8</w:t>
      </w:r>
      <w:r w:rsidRPr="006B5C12">
        <w:rPr>
          <w:rFonts w:ascii="Arial" w:hAnsi="Arial" w:cs="Arial"/>
          <w:b/>
        </w:rPr>
        <w:t xml:space="preserve"> Koncesní smlouvy</w:t>
      </w:r>
    </w:p>
    <w:p w:rsidR="00C91344" w:rsidRPr="006B5C12" w:rsidRDefault="00C91344" w:rsidP="00C91344">
      <w:pPr>
        <w:jc w:val="both"/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>Vzor čtvrtletní a roční zprávy o stavu provozovaného Vodohospodářského majetku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0"/>
        <w:gridCol w:w="985"/>
        <w:gridCol w:w="867"/>
      </w:tblGrid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Čtvrtletní zpráva</w:t>
            </w: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Roční zpráva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kanalizačních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platných výjimek na kvalitu pitné vody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rozhodnutí o vypouštění odpadních vod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44A9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C91344" w:rsidRDefault="005644A9" w:rsidP="005644A9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rozhodnutí 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odběru podzemních vod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Default="005644A9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4A6763" w:rsidRDefault="00C91344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vody ve zdroji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domovních studní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44A9" w:rsidRPr="006E2174" w:rsidTr="005644A9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4A6763" w:rsidRDefault="005644A9" w:rsidP="005644A9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44A9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6E2174" w:rsidRDefault="005644A9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linky úpravny vody (kategorie úpravny vody dle platné legislativy, návrhové parametry, provozní hodnoty – průtoky)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44A9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6E2174" w:rsidRDefault="005644A9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ategorie jakosti zdroje surové vody dle platné legislativy, ukazatele kvality surové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44A9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44A9" w:rsidRPr="006E2174" w:rsidRDefault="005644A9" w:rsidP="005644A9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Množství odebrané surové vody </w:t>
            </w:r>
            <w:r w:rsid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–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</w:t>
            </w:r>
            <w:r w:rsidR="00516B5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44A9" w:rsidRPr="006E2174" w:rsidRDefault="005644A9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vyrobené 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kalu (množství odvodněného kalu) – t/dané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nakládání s kaly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chemikálií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kg/1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Podíl technologických vod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644A9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Default="005632A0" w:rsidP="005632A0">
            <w:pPr>
              <w:pStyle w:val="Odstavecseseznamem"/>
              <w:numPr>
                <w:ilvl w:val="2"/>
                <w:numId w:val="1"/>
              </w:numPr>
              <w:spacing w:before="60" w:after="60" w:line="240" w:lineRule="auto"/>
              <w:ind w:left="851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Energetické nároky na 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3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upravené vody – kW/1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516B54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516B54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16B5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Stručný popis stávajícího stavu sítě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vodovodní sítě,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Zastoupení použitých materiálů, vývoj za poslední 3 roky - % podíl hygienicky závadných materiálů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vodojemů - ks, názvy, kapacita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236059" w:rsidRDefault="005632A0" w:rsidP="005632A0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516B54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516B54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E31D6C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doba zdržení vody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C6482D" w:rsidRDefault="005632A0" w:rsidP="005632A0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C6482D" w:rsidRDefault="005632A0" w:rsidP="005632A0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jmenovitý výkon čerpadel - m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C6482D" w:rsidRDefault="005632A0" w:rsidP="005632A0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odvzdušňovacích ventilů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7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závady nebo poškození vodoměru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vodoměrů, u kterých byla provedena kalibrace na žádost odběratele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Počet neměřených přípojek – dopočítávaných dle prováděcí vyhlášky k zákonu č. 274/2001 Sb., o vodovodech a kanalizacích pro veřejnou potřebu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on-line zařízení pro monitorování kvality vody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voda k realizaci (VR),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Objem vody fakturované (VF),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Ztráty vody (VNF/VR), množství, shrnutí důvodů, (vývoj za poslední 3 roky) 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Výtěžnost sítě = VF (pitná)/celková délka sítě –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(obyv./km)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31D6C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Opatření vedoucí k zajištění kvality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oznámení o přerušení a opětovném obnovení služby dodávek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961D62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vodné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vody převzaté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vodné dle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Dohadná položka fakturace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961D62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961D62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odvádění a čištění odpadních 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5632A0" w:rsidRPr="00961D62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961D62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Čistírny odpadních vod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961D62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Výpis povolení k vypouštění odpadních vod – číslo, datum platnosti: vydáno - platné do, parametry povolení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tabs>
                <w:tab w:val="left" w:pos="993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961D62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technologické čistící linky (plánovaná kapacita, skutečné hydraulické a biologické zatížení, jednotlivé stupně) a kalové koncovky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vyčištěných odpadních vod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/dané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Množství vyprodukovaného kalu (množství odvodněného kalu) – t/rok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kalu hodnoceného jako nebezpečný odpad – t/rok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nakládání s kaly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bioplynu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jeho využití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 a počet poruch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ekvivalentních obyvatel (EO) dle skutečného zatížení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stokové sítě (jednotná, oddílná, tlaková, čerpání, odlehčovací komory, dešťové nádrže, retenční nádrže)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kanalizace,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Použité materiály,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sítě, vývoj za poslední 3 roky - % (rozmezí 10 let)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kanalizačních přípojek -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sítě (počet poruch na 100 km sítě, počet poruch v šachtách, počet poruch na přípojkách),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stálých průtokoměrů v síti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stálých zařízení na měření kvality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stokové síti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BA0F6F" w:rsidRDefault="005632A0" w:rsidP="005632A0">
            <w:pPr>
              <w:pStyle w:val="Odstavecseseznamem"/>
              <w:numPr>
                <w:ilvl w:val="0"/>
                <w:numId w:val="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(typ čerpadel, Q/h, kW)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BA0F6F" w:rsidRDefault="005632A0" w:rsidP="005632A0">
            <w:pPr>
              <w:pStyle w:val="Odstavecseseznamem"/>
              <w:numPr>
                <w:ilvl w:val="0"/>
                <w:numId w:val="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BA0F6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poruch a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Odlehčovací komory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Údaje o poměru ředění splaškových vod na přepadech do vodního recipientu (projektovaný a skutečný), počet přepadů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odvedené nečištěné odpadní vody přímo do vodního toku - 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přepadů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7135CB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balastní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7135CB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7135CB" w:rsidRDefault="005632A0" w:rsidP="005632A0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7135CB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odkanalizovaném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7135CB" w:rsidRDefault="005632A0" w:rsidP="005632A0">
            <w:pPr>
              <w:tabs>
                <w:tab w:val="left" w:pos="993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7135CB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balastních vod přitékající na ČOV - m</w:t>
            </w:r>
            <w:r w:rsidRPr="00944C7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balastních vod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investičních akcí a jejich vliv na provoz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Havárie – statistika vzniklých havárií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odvádění odpadních vod)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stočné - Kč/m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Fakturované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čné – odpadní voda celkem – Kč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(plus dohadná položka)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vypouštění odpadních vod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Fakturované stočné – srážková voda celkem – Kč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(členění po lhůtě splatnosti do 90 dnů, od 91 do 180 dnů, nad 180 dnů)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stočné v členění dle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energie na vyčištění 1 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odpadní vody – Kč/m</w:t>
            </w:r>
            <w:r w:rsidRPr="00944C7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77090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Údržba 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77090">
        <w:trPr>
          <w:divId w:val="2008359492"/>
          <w:trHeight w:val="255"/>
        </w:trPr>
        <w:tc>
          <w:tcPr>
            <w:tcW w:w="9092" w:type="dxa"/>
            <w:gridSpan w:val="3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377090" w:rsidRDefault="005632A0" w:rsidP="005632A0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377090">
              <w:rPr>
                <w:rFonts w:ascii="Arial" w:hAnsi="Arial" w:cs="Arial"/>
                <w:i/>
                <w:sz w:val="20"/>
                <w:szCs w:val="20"/>
              </w:rPr>
              <w:t>Vybrané úkony požadované údržby jsou sledovány v rámci vyhodnocování výkonových ukazatelů preventivní údržby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(viz Kapitola 8 a 9) kde budou tyto úkony popsány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. Tato </w:t>
            </w: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apitola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4 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>by měla popisovat úkony údržby nad rámec požadovaný výkonovými ukazateli preventivní údržby.</w:t>
            </w:r>
          </w:p>
        </w:tc>
      </w:tr>
      <w:tr w:rsidR="005632A0" w:rsidRPr="006E2174" w:rsidTr="00377090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Úpravny vody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77090">
        <w:trPr>
          <w:divId w:val="2008359492"/>
          <w:trHeight w:val="255"/>
        </w:trPr>
        <w:tc>
          <w:tcPr>
            <w:tcW w:w="7240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E548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</w:t>
            </w: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údržby provedené na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úpravnách vody – primární stupeň, sekundární stupeň, chemické hospodářství, zdravotní zabezpečení, kalové hospodářství</w:t>
            </w:r>
          </w:p>
        </w:tc>
        <w:tc>
          <w:tcPr>
            <w:tcW w:w="985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77090">
        <w:trPr>
          <w:divId w:val="2008359492"/>
          <w:trHeight w:val="255"/>
        </w:trPr>
        <w:tc>
          <w:tcPr>
            <w:tcW w:w="7240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E548A" w:rsidRDefault="005632A0" w:rsidP="005632A0">
            <w:pPr>
              <w:pStyle w:val="Odstavecseseznamem"/>
              <w:numPr>
                <w:ilvl w:val="0"/>
                <w:numId w:val="4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úpraven vod</w:t>
            </w:r>
          </w:p>
        </w:tc>
        <w:tc>
          <w:tcPr>
            <w:tcW w:w="985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532A96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532A96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92E7B" w:rsidRDefault="005632A0" w:rsidP="005632A0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vodovodní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2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tlaku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2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úrovně hladiny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2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on-line zařízení pro monitorování kvality vody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2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4943E2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stokové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345D12" w:rsidRDefault="005632A0" w:rsidP="005632A0">
            <w:pPr>
              <w:spacing w:before="60" w:after="60" w:line="240" w:lineRule="auto"/>
              <w:ind w:left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345D12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45D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průtokoměrů na kanalizačních měrných profilech v kanalizační síti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zařízení na měření kvality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532A96" w:rsidRDefault="005632A0" w:rsidP="005632A0">
            <w:pPr>
              <w:pStyle w:val="Odstavecseseznamem"/>
              <w:numPr>
                <w:ilvl w:val="1"/>
                <w:numId w:val="4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Popis údržby prováděné na stavebních objektech stokové sítě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Čistírny odpadních vod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Popis údržby prováděné na stavebních objektech ČOV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(nad 50 tis. Kč)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provedených na úpravnách vody,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vodovodní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vodojemech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stokové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oprav na stokové síti během sledovaného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na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kové síti včetně přípojek (nad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tis. Kč), 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ČOV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E6370D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6370D" w:rsidRDefault="005632A0" w:rsidP="005632A0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E6370D" w:rsidRDefault="005632A0" w:rsidP="005632A0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zavedení služby servisu odběratelům – zákaznické centrum, call centrum, informační systém stížností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ČOV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kanalizační sítě (zápach, neprůtočnost, propad, poklopy, atd.)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vodovodní sítě (senzorické vlastnosti vody, tlak vody, kvalita vody)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na vytopení kanalizací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na nesprávnou fakturaci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Technicko-provozní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nakládání s odpady a jejich likvidace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Přehled evidence odpadů (zejména dle kategorie odpadů u kalů)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Množství zachycených 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shrabků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zachyceného štěrku a písku na lapácích ČOV – 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odseparovaných tuků a olejů v m</w:t>
            </w:r>
            <w:r w:rsidRPr="00E63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zneškodňování odpadních vod na individuálním základě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smluvního vztahu mezi provozovatelem 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vlastníkem v oblasti řešení zne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škodňování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individuálních zdrojů odpadní vody – odkud se provádí svoz, kdo jej provádí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Seznam smluvních partnerů pro dodávku odpadní vody z individuálních zdrojů (dopravci)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ČOV, na kterých probíhá služba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provozních řádů ČOV určených pro provádění služby likvidace odpadních vod na individuálním základě s uvedením odkazů na části provozních řádů tuto skutečnost popisujících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rozhodnutí vodoprávních či jiných správních orgánů o podmínkách pro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Statistika zneškodňování odpadních vod na individuálním základě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odpadních vod na individuálním základě – m</w:t>
            </w:r>
            <w:r w:rsidRPr="00AF4BC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a výše ceny za službu likvidace odpadních vod na individuálním základě, tržby a náklady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102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systému účetnictví pro samostatné vedení nákladů na službu likvidace odpadních vod na individuálním základě včetně metodik a směrnic pro stanovení podílu nákladů (zejména provozu ČOV) příslušejících pro cenu pro stočné a pro cenu za službu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Vztahy k odběratelům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odběratelů souvisejících se službou likvidace odpadních vod na individuálním základě zajištěnou fekálními vozy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evidence původců a dopravců při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míst s možností automatického předání odpadních vod při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43EE5" w:rsidRDefault="005632A0" w:rsidP="005632A0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43E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Jakost dodávané pitné vody (iPVz1, PVz1)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DB6AFD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FA16C2" w:rsidRDefault="005632A0" w:rsidP="005632A0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stanovení ukazatele jakosti dodávané pitné vody splňujících hygienické limity ve smyslu vyhlášky č. 252/2004 Sb., ve znění pozdějších předpisů, provedených během hodnoceného období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Default="005632A0" w:rsidP="005632A0">
            <w:pPr>
              <w:jc w:val="center"/>
            </w:pPr>
            <w:r w:rsidRPr="001E71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76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FA16C2" w:rsidRDefault="005632A0" w:rsidP="005632A0">
            <w:pPr>
              <w:pStyle w:val="Odstavecseseznamem"/>
              <w:numPr>
                <w:ilvl w:val="0"/>
                <w:numId w:val="1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FA16C2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stanovení ukazatele jakosti dodávané pitné vody vyžadovaných na základě požadavků vyhlášky č. 252/2004 Sb., ve znění pozdějších předpisů, provedených během hodnoceného období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Default="005632A0" w:rsidP="005632A0">
            <w:pPr>
              <w:jc w:val="center"/>
            </w:pPr>
            <w:r w:rsidRPr="001E71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Havarijní přerušení dodávek pitné vody - domácnosti (iPVz2, PVz2)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přípojek, s výjimkou přípojek vybraných odběratelů, postižených přerušením dodávky pitné vody během každé jedné havárie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během každé jedné havárie (hodiny)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Limity vývoje ztrát pitné vody (jednotkový únik vody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nefakturované)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(iPVz3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Objem nefakturované vody (VNF) vyjádřený jako rozdíl objemu vody k realizaci a objemu vody celkem fakturované (dodané),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Přepočtená délka sítě na profil DN150 (km)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Havarijní přerušení dodávek pitné vody - vybraní odběratelé (iPVz6, PVz6)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8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vybraným odběratelům způsobeného jednou havárií (hodiny)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454B4C">
        <w:trPr>
          <w:divId w:val="2008359492"/>
          <w:trHeight w:val="4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keepNext/>
              <w:numPr>
                <w:ilvl w:val="0"/>
                <w:numId w:val="18"/>
              </w:numPr>
              <w:spacing w:before="60" w:after="60" w:line="240" w:lineRule="auto"/>
              <w:ind w:left="993" w:right="-170" w:hanging="284"/>
              <w:contextualSpacing w:val="0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přerušení dodávky vody vybraným odběratelům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z důvodu havárie, k referenčnímu datu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vyčištěných sekcí akumulačních nádrží vodojemů,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skutečně provedených úkonů požadovaných plánem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preventivní údržby (na čištění akumulačních nádrží a údržbu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vodojemů), během jednoho roku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úkonů požadovaných plánem preventivní údržby (na čištění akumulačních nádrží a údržbu vodojemů), během jednoho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vodovodních řadů (bez přivaděčů a vodovodních přípojek), k referenčnímu datu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(odvádění)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nevyhovujících vzorků vypouštěných odpadních vod (iOVz1, OVz1)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vzorků vypouštěných odpadních vod vyžadovaných platným vodoprávním rozhodnutím,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Doba pro obnovení služby odvádění odpadních vod (iOVz2, 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přípojek negativně ovlivněných havárií (přerušení odvádění odpadních </w:t>
            </w:r>
            <w:proofErr w:type="gramStart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vod) (počet</w:t>
            </w:r>
            <w:proofErr w:type="gramEnd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odvádění odpadních vod z důvodů havárie, během každé jedné havárie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odvádění odpadních vod z důvodů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2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Porucha čerpadel na stokové síti (iOVz3, OVz3)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Součet hodin pro všechna čerpadla na gravitační stokové síti a nátoku na ČOV, kdy byla čerpadla mimo provoz z důvodu poruchy, během jednoho roku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čerpadel na gravitační stokové síti a nátoku na ČOV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ve správě provozovatele,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Hodiny pro danou čerpací stanici na gravitační stokové síti a nátoku na ČOV, kdy byla čerpací stanice mimo provoz z důvodu poruchy, během každé jedné poruchy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Revize kanalizace – stokové sítě (iOVz4, OVz4)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Skutečná délka gravitační stokové sítě ve správě provozovatele,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u které byla provedena revize, během jednoho roku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Celková délka gravitační stokové sítě ve správě provozovatele,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k referenčnímu datu (km)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kanalizace – stokové sítě (iOVz5, 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vyčištěné gravitační stokové sítě ve správě provozovatele (včetně souvisejících objektů), během jednoho roku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454B4C" w:rsidRDefault="005632A0" w:rsidP="005632A0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gravitační stokové sítě ve správě provozovatele (včetně souvisejících objektů), k referenčnímu datu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+ 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2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údržba významných zařízení (iPOVz1, POVz1)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DA407D" w:rsidRDefault="005632A0" w:rsidP="005632A0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provedených úkonů preventivní údržby na významných zařízeních dle plánu preventivní údržby,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DA407D" w:rsidRDefault="005632A0" w:rsidP="005632A0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úkonů požadovaných plánem preventivní údržby na významných zařízeních,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DA407D" w:rsidRDefault="005632A0" w:rsidP="005632A0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evidovaných stížností odběratelů souvisejících se službou dodávky pitné vody a odvádění odpadních vod,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DA407D" w:rsidRDefault="005632A0" w:rsidP="005632A0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a odvádění odpadních vod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922D98" w:rsidRDefault="005632A0" w:rsidP="005632A0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922D98" w:rsidRDefault="005632A0" w:rsidP="005632A0">
            <w:pPr>
              <w:pStyle w:val="Odstavecseseznamem"/>
              <w:numPr>
                <w:ilvl w:val="0"/>
                <w:numId w:val="3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A72763" w:rsidRDefault="005632A0" w:rsidP="005632A0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A72763" w:rsidRDefault="005632A0" w:rsidP="005632A0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A72763" w:rsidRDefault="005632A0" w:rsidP="005632A0">
            <w:pPr>
              <w:pStyle w:val="Odstavecseseznamem"/>
              <w:numPr>
                <w:ilvl w:val="0"/>
                <w:numId w:val="34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Skutečně dosažená doba pro vydání každého jednoho stanoviska nebo vyjádření k dokumentaci přípojek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a kanalizace (iPOVz5, POVz5)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A72763" w:rsidRDefault="005632A0" w:rsidP="005632A0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 a kanalizace,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A72763" w:rsidRDefault="005632A0" w:rsidP="005632A0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 a kanalizace,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3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a kanalizace (dny)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 dle Přílohy č. 1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všech výkonových ukazatelů a celkový počet k nim příslušných bodů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DB6AFD">
        <w:trPr>
          <w:divId w:val="2008359492"/>
          <w:trHeight w:val="510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944C76">
        <w:trPr>
          <w:divId w:val="2008359492"/>
          <w:trHeight w:val="510"/>
        </w:trPr>
        <w:tc>
          <w:tcPr>
            <w:tcW w:w="9092" w:type="dxa"/>
            <w:gridSpan w:val="3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020F98" w:rsidRDefault="005632A0" w:rsidP="005632A0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Vlastník uplatnil ve smlouvě možnost dispozitivní úpravy dle zákona č. 274/2001 Sb., o </w:t>
            </w:r>
            <w:proofErr w:type="gramStart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vodovodech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  </w:t>
            </w: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a kanalizacích</w:t>
            </w:r>
            <w:proofErr w:type="gramEnd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pro veřejnou potřebu a tedy provozovatel je povinen informovat o výkonu těchto práv a povinností na něj přenesených, a to následujícím způsobem, tj. poskytnutím níže uvedených informačních zpráv.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Vodovodu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analizace 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 nebo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analizaci,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analizaci s ohledem na kapacitní a další technické požadavky včetně stručného komentáře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a kopie uzavřených písemných smluv s odběrateli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127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Vzory informací podle § 8 odst. 6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 skutečnost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</w:t>
            </w:r>
            <w:bookmarkStart w:id="0" w:name="_GoBack"/>
            <w:bookmarkEnd w:id="0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ch v rozsahu dle § 36 odst.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seznam obecních úřadů, v jejichž obvodu zajišťuje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 provozování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dovodu a/nebo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analizace, včetně doložení času a způsobu realizace informační povinnosti včetně způsobu prezentace všech uváděných informací na www stránkách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rovozovatele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102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Kopie zveřejnění úplné informace o celkovém vyúčtování všech položek výpočtu ceny pro vodné a ceny pro stočné v předchozím kalendářním roce. Vykázaný rozdíl musí být zdůvodněn. Prokázání, že toto vyúčtování bylo zveřejněno v termínu do </w:t>
            </w:r>
            <w:proofErr w:type="gramStart"/>
            <w:r w:rsidRPr="002037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30.4.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prokázání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předání vyúčtování v termínu na Ministerstvo zemědělství ČR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26117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Systém řízení jakosti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externích auditů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5632A0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5632A0" w:rsidRPr="006E2174" w:rsidRDefault="005632A0" w:rsidP="005632A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certifikace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5632A0" w:rsidRPr="006E2174" w:rsidRDefault="005632A0" w:rsidP="005632A0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</w:tbl>
    <w:p w:rsidR="00CA302C" w:rsidRDefault="00CA302C"/>
    <w:p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1" w:name="_Toc244072549"/>
      <w:bookmarkStart w:id="2" w:name="_Toc264298985"/>
      <w:bookmarkStart w:id="3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 o provozování</w:t>
      </w:r>
      <w:bookmarkEnd w:id="1"/>
      <w:bookmarkEnd w:id="2"/>
      <w:bookmarkEnd w:id="3"/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hodnoty, apod.). V odůvodněných případech využívá standardní elementární prvky matematické statistiky.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postupuje tak, že čtvrtletní zprávy jsou pouze v rozsahu sledovaných proměnných pro výkonové ukazatele. 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do*.csv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:rsidR="002037CE" w:rsidRDefault="002037CE"/>
    <w:sectPr w:rsidR="002037CE" w:rsidSect="00BB7168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D12" w:rsidRDefault="00345D12" w:rsidP="00454B4C">
      <w:pPr>
        <w:spacing w:after="0" w:line="240" w:lineRule="auto"/>
      </w:pPr>
      <w:r>
        <w:separator/>
      </w:r>
    </w:p>
  </w:endnote>
  <w:endnote w:type="continuationSeparator" w:id="0">
    <w:p w:rsidR="00345D12" w:rsidRDefault="00345D12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2360"/>
      <w:docPartObj>
        <w:docPartGallery w:val="Page Numbers (Bottom of Page)"/>
        <w:docPartUnique/>
      </w:docPartObj>
    </w:sdtPr>
    <w:sdtEndPr/>
    <w:sdtContent>
      <w:p w:rsidR="00345D12" w:rsidRDefault="005632A0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45D12" w:rsidRDefault="00345D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D12" w:rsidRDefault="00345D12" w:rsidP="00454B4C">
      <w:pPr>
        <w:spacing w:after="0" w:line="240" w:lineRule="auto"/>
      </w:pPr>
      <w:r>
        <w:separator/>
      </w:r>
    </w:p>
  </w:footnote>
  <w:footnote w:type="continuationSeparator" w:id="0">
    <w:p w:rsidR="00345D12" w:rsidRDefault="00345D12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14" w:rsidRPr="00CE1A14" w:rsidRDefault="00CE1A14">
    <w:pPr>
      <w:pStyle w:val="Zhlav"/>
      <w:rPr>
        <w:rFonts w:ascii="Arial" w:hAnsi="Arial" w:cs="Arial"/>
        <w:b/>
        <w:color w:val="808080" w:themeColor="background1" w:themeShade="80"/>
        <w:sz w:val="20"/>
        <w:szCs w:val="20"/>
      </w:rPr>
    </w:pPr>
    <w:r>
      <w:rPr>
        <w:rFonts w:ascii="Arial" w:hAnsi="Arial" w:cs="Arial"/>
        <w:b/>
        <w:color w:val="808080" w:themeColor="background1" w:themeShade="80"/>
        <w:sz w:val="20"/>
        <w:szCs w:val="20"/>
      </w:rPr>
      <w:t>Provozování vodo</w:t>
    </w:r>
    <w:r w:rsidR="00FD1940">
      <w:rPr>
        <w:rFonts w:ascii="Arial" w:hAnsi="Arial" w:cs="Arial"/>
        <w:b/>
        <w:color w:val="808080" w:themeColor="background1" w:themeShade="80"/>
        <w:sz w:val="20"/>
        <w:szCs w:val="20"/>
      </w:rPr>
      <w:t>vodu a kanalizace v majetku města Český Brod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C4E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41F26"/>
    <w:multiLevelType w:val="hybridMultilevel"/>
    <w:tmpl w:val="32AC6D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5624A"/>
    <w:multiLevelType w:val="hybridMultilevel"/>
    <w:tmpl w:val="E552220A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9296A"/>
    <w:multiLevelType w:val="hybridMultilevel"/>
    <w:tmpl w:val="ED2650F8"/>
    <w:lvl w:ilvl="0" w:tplc="75DCEC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67323"/>
    <w:multiLevelType w:val="hybridMultilevel"/>
    <w:tmpl w:val="CFF8EE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510A8368">
      <w:start w:val="1"/>
      <w:numFmt w:val="ordinal"/>
      <w:lvlText w:val="%2"/>
      <w:lvlJc w:val="left"/>
      <w:pPr>
        <w:ind w:left="1495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BC352F"/>
    <w:multiLevelType w:val="hybridMultilevel"/>
    <w:tmpl w:val="06B4A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942605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723F90"/>
    <w:multiLevelType w:val="hybridMultilevel"/>
    <w:tmpl w:val="8DA6B8D0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096A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2C6C30"/>
    <w:multiLevelType w:val="hybridMultilevel"/>
    <w:tmpl w:val="71626074"/>
    <w:lvl w:ilvl="0" w:tplc="9A80C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517520"/>
    <w:multiLevelType w:val="multilevel"/>
    <w:tmpl w:val="CD442D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ind w:left="792" w:hanging="432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C37CC3"/>
    <w:multiLevelType w:val="hybridMultilevel"/>
    <w:tmpl w:val="4CE08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972ABBF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7F04B4"/>
    <w:multiLevelType w:val="hybridMultilevel"/>
    <w:tmpl w:val="53B00A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5"/>
  </w:num>
  <w:num w:numId="4">
    <w:abstractNumId w:val="20"/>
  </w:num>
  <w:num w:numId="5">
    <w:abstractNumId w:val="41"/>
  </w:num>
  <w:num w:numId="6">
    <w:abstractNumId w:val="36"/>
  </w:num>
  <w:num w:numId="7">
    <w:abstractNumId w:val="34"/>
  </w:num>
  <w:num w:numId="8">
    <w:abstractNumId w:val="7"/>
  </w:num>
  <w:num w:numId="9">
    <w:abstractNumId w:val="44"/>
  </w:num>
  <w:num w:numId="10">
    <w:abstractNumId w:val="32"/>
  </w:num>
  <w:num w:numId="11">
    <w:abstractNumId w:val="16"/>
  </w:num>
  <w:num w:numId="12">
    <w:abstractNumId w:val="27"/>
  </w:num>
  <w:num w:numId="13">
    <w:abstractNumId w:val="15"/>
  </w:num>
  <w:num w:numId="14">
    <w:abstractNumId w:val="29"/>
  </w:num>
  <w:num w:numId="15">
    <w:abstractNumId w:val="6"/>
  </w:num>
  <w:num w:numId="16">
    <w:abstractNumId w:val="40"/>
  </w:num>
  <w:num w:numId="17">
    <w:abstractNumId w:val="24"/>
  </w:num>
  <w:num w:numId="18">
    <w:abstractNumId w:val="4"/>
  </w:num>
  <w:num w:numId="19">
    <w:abstractNumId w:val="30"/>
  </w:num>
  <w:num w:numId="20">
    <w:abstractNumId w:val="8"/>
  </w:num>
  <w:num w:numId="21">
    <w:abstractNumId w:val="42"/>
  </w:num>
  <w:num w:numId="22">
    <w:abstractNumId w:val="10"/>
  </w:num>
  <w:num w:numId="23">
    <w:abstractNumId w:val="43"/>
  </w:num>
  <w:num w:numId="24">
    <w:abstractNumId w:val="2"/>
  </w:num>
  <w:num w:numId="25">
    <w:abstractNumId w:val="0"/>
  </w:num>
  <w:num w:numId="26">
    <w:abstractNumId w:val="13"/>
  </w:num>
  <w:num w:numId="27">
    <w:abstractNumId w:val="23"/>
  </w:num>
  <w:num w:numId="28">
    <w:abstractNumId w:val="35"/>
  </w:num>
  <w:num w:numId="29">
    <w:abstractNumId w:val="38"/>
  </w:num>
  <w:num w:numId="30">
    <w:abstractNumId w:val="19"/>
  </w:num>
  <w:num w:numId="31">
    <w:abstractNumId w:val="33"/>
  </w:num>
  <w:num w:numId="32">
    <w:abstractNumId w:val="14"/>
  </w:num>
  <w:num w:numId="33">
    <w:abstractNumId w:val="3"/>
  </w:num>
  <w:num w:numId="34">
    <w:abstractNumId w:val="45"/>
  </w:num>
  <w:num w:numId="35">
    <w:abstractNumId w:val="22"/>
  </w:num>
  <w:num w:numId="36">
    <w:abstractNumId w:val="37"/>
  </w:num>
  <w:num w:numId="37">
    <w:abstractNumId w:val="17"/>
  </w:num>
  <w:num w:numId="38">
    <w:abstractNumId w:val="12"/>
  </w:num>
  <w:num w:numId="39">
    <w:abstractNumId w:val="26"/>
  </w:num>
  <w:num w:numId="40">
    <w:abstractNumId w:val="1"/>
  </w:num>
  <w:num w:numId="41">
    <w:abstractNumId w:val="31"/>
  </w:num>
  <w:num w:numId="42">
    <w:abstractNumId w:val="21"/>
  </w:num>
  <w:num w:numId="43">
    <w:abstractNumId w:val="21"/>
    <w:lvlOverride w:ilvl="0">
      <w:lvl w:ilvl="0" w:tplc="04050017">
        <w:start w:val="1"/>
        <w:numFmt w:val="decimal"/>
        <w:lvlText w:val="%1."/>
        <w:lvlJc w:val="left"/>
        <w:pPr>
          <w:ind w:left="1440" w:hanging="360"/>
        </w:pPr>
        <w:rPr>
          <w:rFonts w:hint="default"/>
          <w:b w:val="0"/>
          <w:color w:val="auto"/>
        </w:rPr>
      </w:lvl>
    </w:lvlOverride>
    <w:lvlOverride w:ilvl="1">
      <w:lvl w:ilvl="1" w:tplc="7942605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4">
    <w:abstractNumId w:val="18"/>
  </w:num>
  <w:num w:numId="45">
    <w:abstractNumId w:val="39"/>
  </w:num>
  <w:num w:numId="46">
    <w:abstractNumId w:val="25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174"/>
    <w:rsid w:val="00020F98"/>
    <w:rsid w:val="00062C9D"/>
    <w:rsid w:val="00064861"/>
    <w:rsid w:val="00077013"/>
    <w:rsid w:val="00083D55"/>
    <w:rsid w:val="000C0924"/>
    <w:rsid w:val="000D218F"/>
    <w:rsid w:val="000E274C"/>
    <w:rsid w:val="000E6F1F"/>
    <w:rsid w:val="001212B2"/>
    <w:rsid w:val="00126117"/>
    <w:rsid w:val="00134D2E"/>
    <w:rsid w:val="001F58D1"/>
    <w:rsid w:val="002037CE"/>
    <w:rsid w:val="00206B06"/>
    <w:rsid w:val="00236059"/>
    <w:rsid w:val="00256B8A"/>
    <w:rsid w:val="002E1556"/>
    <w:rsid w:val="003015A8"/>
    <w:rsid w:val="003105C4"/>
    <w:rsid w:val="0031639A"/>
    <w:rsid w:val="00345D12"/>
    <w:rsid w:val="003526A8"/>
    <w:rsid w:val="003749C6"/>
    <w:rsid w:val="00377090"/>
    <w:rsid w:val="003C6659"/>
    <w:rsid w:val="00443EE5"/>
    <w:rsid w:val="00454B4C"/>
    <w:rsid w:val="00484A24"/>
    <w:rsid w:val="00492609"/>
    <w:rsid w:val="004943E2"/>
    <w:rsid w:val="004A6763"/>
    <w:rsid w:val="004E548A"/>
    <w:rsid w:val="00510A59"/>
    <w:rsid w:val="00515AB9"/>
    <w:rsid w:val="00516B54"/>
    <w:rsid w:val="00532A96"/>
    <w:rsid w:val="0055182C"/>
    <w:rsid w:val="005562D4"/>
    <w:rsid w:val="005632A0"/>
    <w:rsid w:val="005644A9"/>
    <w:rsid w:val="00592E7B"/>
    <w:rsid w:val="00597A8F"/>
    <w:rsid w:val="006E2174"/>
    <w:rsid w:val="006F4393"/>
    <w:rsid w:val="007135CB"/>
    <w:rsid w:val="00727D50"/>
    <w:rsid w:val="00774F19"/>
    <w:rsid w:val="007A0117"/>
    <w:rsid w:val="007E036B"/>
    <w:rsid w:val="00870497"/>
    <w:rsid w:val="00883378"/>
    <w:rsid w:val="008B1FCB"/>
    <w:rsid w:val="00922D98"/>
    <w:rsid w:val="00926925"/>
    <w:rsid w:val="00944C76"/>
    <w:rsid w:val="00961D62"/>
    <w:rsid w:val="009647CC"/>
    <w:rsid w:val="009A09D4"/>
    <w:rsid w:val="009F0395"/>
    <w:rsid w:val="00A57CE5"/>
    <w:rsid w:val="00A72763"/>
    <w:rsid w:val="00AF4BCF"/>
    <w:rsid w:val="00AF7506"/>
    <w:rsid w:val="00B01A4A"/>
    <w:rsid w:val="00B43AC8"/>
    <w:rsid w:val="00B45DD0"/>
    <w:rsid w:val="00BA0F6F"/>
    <w:rsid w:val="00BB7168"/>
    <w:rsid w:val="00BC2183"/>
    <w:rsid w:val="00BF64FD"/>
    <w:rsid w:val="00C10C9F"/>
    <w:rsid w:val="00C13A73"/>
    <w:rsid w:val="00C13CF3"/>
    <w:rsid w:val="00C33934"/>
    <w:rsid w:val="00C6011A"/>
    <w:rsid w:val="00C6482D"/>
    <w:rsid w:val="00C90D38"/>
    <w:rsid w:val="00C91344"/>
    <w:rsid w:val="00CA302C"/>
    <w:rsid w:val="00CC2D36"/>
    <w:rsid w:val="00CE1A14"/>
    <w:rsid w:val="00D1363A"/>
    <w:rsid w:val="00D62D2A"/>
    <w:rsid w:val="00DA323E"/>
    <w:rsid w:val="00DA407D"/>
    <w:rsid w:val="00DB6AFD"/>
    <w:rsid w:val="00DF5F6E"/>
    <w:rsid w:val="00E07DCE"/>
    <w:rsid w:val="00E152D4"/>
    <w:rsid w:val="00E16D6A"/>
    <w:rsid w:val="00E31D6C"/>
    <w:rsid w:val="00E4498E"/>
    <w:rsid w:val="00E6370D"/>
    <w:rsid w:val="00EB2416"/>
    <w:rsid w:val="00ED755F"/>
    <w:rsid w:val="00EE0E43"/>
    <w:rsid w:val="00F57F43"/>
    <w:rsid w:val="00F95641"/>
    <w:rsid w:val="00FA16C2"/>
    <w:rsid w:val="00FD1940"/>
    <w:rsid w:val="00FF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71AD18-C030-434D-9468-93A2CE59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7F56C-1D08-4876-9B8B-BA4FC999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3209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22100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Jaglova</dc:creator>
  <cp:lastModifiedBy>Eva Frýbová</cp:lastModifiedBy>
  <cp:revision>3</cp:revision>
  <dcterms:created xsi:type="dcterms:W3CDTF">2020-02-12T08:38:00Z</dcterms:created>
  <dcterms:modified xsi:type="dcterms:W3CDTF">2020-02-12T08:40:00Z</dcterms:modified>
</cp:coreProperties>
</file>