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ust.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071327E5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 xml:space="preserve">že jako </w:t>
      </w:r>
      <w:r w:rsidR="007C4835">
        <w:rPr>
          <w:rFonts w:eastAsia="Arial"/>
          <w:b/>
          <w:bCs/>
          <w:sz w:val="22"/>
          <w:szCs w:val="22"/>
        </w:rPr>
        <w:t>účastník koncesního řízení</w:t>
      </w:r>
      <w:r w:rsidRPr="002D246E">
        <w:rPr>
          <w:rFonts w:eastAsia="Arial"/>
          <w:b/>
          <w:bCs/>
          <w:sz w:val="22"/>
          <w:szCs w:val="22"/>
        </w:rPr>
        <w:t xml:space="preserve">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163D54AC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 xml:space="preserve">Prohlašuje, že nevyužije při plnění </w:t>
      </w:r>
      <w:r w:rsidR="007C4835">
        <w:rPr>
          <w:rFonts w:eastAsia="Arial"/>
          <w:b/>
          <w:bCs/>
          <w:sz w:val="22"/>
          <w:szCs w:val="22"/>
        </w:rPr>
        <w:t>koncese</w:t>
      </w:r>
      <w:r w:rsidRPr="002D246E">
        <w:rPr>
          <w:rFonts w:eastAsia="Arial"/>
          <w:b/>
          <w:bCs/>
          <w:sz w:val="22"/>
          <w:szCs w:val="22"/>
        </w:rPr>
        <w:t xml:space="preserve">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2EA5" w14:textId="77777777" w:rsidR="009C4E10" w:rsidRDefault="009C4E10" w:rsidP="002D246E">
      <w:r>
        <w:separator/>
      </w:r>
    </w:p>
  </w:endnote>
  <w:endnote w:type="continuationSeparator" w:id="0">
    <w:p w14:paraId="082F43F3" w14:textId="77777777" w:rsidR="009C4E10" w:rsidRDefault="009C4E10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F3EC" w14:textId="77777777" w:rsidR="003D446D" w:rsidRDefault="003D44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8C07" w14:textId="77777777" w:rsidR="003D446D" w:rsidRDefault="003D44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26A7" w14:textId="77777777" w:rsidR="009C4E10" w:rsidRDefault="009C4E10" w:rsidP="002D246E">
      <w:r>
        <w:separator/>
      </w:r>
    </w:p>
  </w:footnote>
  <w:footnote w:type="continuationSeparator" w:id="0">
    <w:p w14:paraId="51A75958" w14:textId="77777777" w:rsidR="009C4E10" w:rsidRDefault="009C4E10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95C5" w14:textId="77777777" w:rsidR="003D446D" w:rsidRDefault="003D44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4DC74DB2" w:rsidR="00457842" w:rsidRPr="00FA2653" w:rsidRDefault="007C4835" w:rsidP="007C48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3D446D">
      <w:rPr>
        <w:color w:val="808080"/>
        <w:sz w:val="18"/>
        <w:szCs w:val="18"/>
      </w:rPr>
      <w:t>4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ke koncesnímu řízení „</w:t>
    </w:r>
    <w:r w:rsidRPr="00DA7B55">
      <w:rPr>
        <w:color w:val="808080"/>
        <w:sz w:val="18"/>
        <w:szCs w:val="18"/>
      </w:rPr>
      <w:t>Provoz sdílených kol v Českém Brodě, 2026</w:t>
    </w:r>
    <w:r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C40" w14:textId="77777777" w:rsidR="003D446D" w:rsidRDefault="003D44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60144"/>
    <w:rsid w:val="000718E6"/>
    <w:rsid w:val="002A4BBB"/>
    <w:rsid w:val="002D246E"/>
    <w:rsid w:val="002F3BE9"/>
    <w:rsid w:val="00340B42"/>
    <w:rsid w:val="00374734"/>
    <w:rsid w:val="003B75CE"/>
    <w:rsid w:val="003D446D"/>
    <w:rsid w:val="00457842"/>
    <w:rsid w:val="0047647E"/>
    <w:rsid w:val="004D7F14"/>
    <w:rsid w:val="005B0011"/>
    <w:rsid w:val="0066395E"/>
    <w:rsid w:val="00744641"/>
    <w:rsid w:val="007C4835"/>
    <w:rsid w:val="00807158"/>
    <w:rsid w:val="0086445D"/>
    <w:rsid w:val="0090312A"/>
    <w:rsid w:val="009C4E10"/>
    <w:rsid w:val="00A72172"/>
    <w:rsid w:val="00B10293"/>
    <w:rsid w:val="00B204DC"/>
    <w:rsid w:val="00E83428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2026-02-12T06:57:00Z</dcterms:modified>
</cp:coreProperties>
</file>