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776EF8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776EF8">
      <w:pPr>
        <w:jc w:val="both"/>
        <w:rPr>
          <w:b/>
          <w:sz w:val="22"/>
          <w:szCs w:val="22"/>
        </w:rPr>
      </w:pPr>
    </w:p>
    <w:p w14:paraId="033B9CE1" w14:textId="0D77A385" w:rsidR="002D246E" w:rsidRPr="002D246E" w:rsidRDefault="002D246E" w:rsidP="00776EF8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2A83" w14:textId="77777777" w:rsidR="0049046A" w:rsidRDefault="0049046A" w:rsidP="002D246E">
      <w:r>
        <w:separator/>
      </w:r>
    </w:p>
  </w:endnote>
  <w:endnote w:type="continuationSeparator" w:id="0">
    <w:p w14:paraId="0D3E17DB" w14:textId="77777777" w:rsidR="0049046A" w:rsidRDefault="0049046A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78D" w14:textId="77777777" w:rsidR="0049046A" w:rsidRDefault="0049046A" w:rsidP="002D246E">
      <w:r>
        <w:separator/>
      </w:r>
    </w:p>
  </w:footnote>
  <w:footnote w:type="continuationSeparator" w:id="0">
    <w:p w14:paraId="4924F08E" w14:textId="77777777" w:rsidR="0049046A" w:rsidRDefault="0049046A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46F42863" w:rsidR="00457842" w:rsidRPr="00FA2653" w:rsidRDefault="00776EF8" w:rsidP="00776EF8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Pr="00A546EF">
      <w:rPr>
        <w:color w:val="808080"/>
        <w:sz w:val="18"/>
        <w:szCs w:val="18"/>
      </w:rPr>
      <w:t>„</w:t>
    </w:r>
    <w:r w:rsidR="000E77CA" w:rsidRPr="000E77CA">
      <w:rPr>
        <w:color w:val="808080"/>
        <w:sz w:val="18"/>
        <w:szCs w:val="18"/>
      </w:rPr>
      <w:t>Poskytování služeb městského zahradníka/městské zahradnice</w:t>
    </w:r>
    <w:r w:rsidRPr="00A546EF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0E77CA"/>
    <w:rsid w:val="002A4BBB"/>
    <w:rsid w:val="002D246E"/>
    <w:rsid w:val="002F3BE9"/>
    <w:rsid w:val="00340B42"/>
    <w:rsid w:val="00374734"/>
    <w:rsid w:val="003B75CE"/>
    <w:rsid w:val="00457842"/>
    <w:rsid w:val="0047647E"/>
    <w:rsid w:val="0049046A"/>
    <w:rsid w:val="00493022"/>
    <w:rsid w:val="004D7F14"/>
    <w:rsid w:val="00571929"/>
    <w:rsid w:val="005B0011"/>
    <w:rsid w:val="006A3E94"/>
    <w:rsid w:val="00731613"/>
    <w:rsid w:val="00776EF8"/>
    <w:rsid w:val="007919A6"/>
    <w:rsid w:val="00807158"/>
    <w:rsid w:val="0086445D"/>
    <w:rsid w:val="0090312A"/>
    <w:rsid w:val="00B204DC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300</Words>
  <Characters>1852</Characters>
  <Application>Microsoft Office Word</Application>
  <DocSecurity>0</DocSecurity>
  <Lines>36</Lines>
  <Paragraphs>23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9</cp:revision>
  <dcterms:created xsi:type="dcterms:W3CDTF">2025-08-07T07:42:00Z</dcterms:created>
  <dcterms:modified xsi:type="dcterms:W3CDTF">2026-03-19T13:22:00Z</dcterms:modified>
</cp:coreProperties>
</file>